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17403" w14:textId="7123B909" w:rsidR="00C067D4" w:rsidRPr="00A835D3" w:rsidRDefault="00A835D3" w:rsidP="00A835D3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  <w:color w:val="262626"/>
          <w:sz w:val="28"/>
          <w:szCs w:val="28"/>
        </w:rPr>
      </w:pPr>
      <w:r w:rsidRPr="00A835D3">
        <w:rPr>
          <w:rFonts w:ascii="Arial" w:hAnsi="Arial" w:cs="Arial"/>
          <w:b/>
          <w:bCs/>
          <w:color w:val="262626"/>
          <w:sz w:val="28"/>
          <w:szCs w:val="28"/>
        </w:rPr>
        <w:t xml:space="preserve">Ведущий мировой автопроизводитель выбирает PLM-решения PTC и </w:t>
      </w:r>
      <w:proofErr w:type="spellStart"/>
      <w:r w:rsidRPr="00A835D3">
        <w:rPr>
          <w:rFonts w:ascii="Arial" w:hAnsi="Arial" w:cs="Arial"/>
          <w:b/>
          <w:bCs/>
          <w:color w:val="262626"/>
          <w:sz w:val="28"/>
          <w:szCs w:val="28"/>
        </w:rPr>
        <w:t>ThingWorx</w:t>
      </w:r>
      <w:proofErr w:type="spellEnd"/>
      <w:r w:rsidRPr="00A835D3">
        <w:rPr>
          <w:rFonts w:ascii="Arial" w:hAnsi="Arial" w:cs="Arial"/>
          <w:b/>
          <w:bCs/>
          <w:color w:val="262626"/>
          <w:sz w:val="28"/>
          <w:szCs w:val="28"/>
        </w:rPr>
        <w:t xml:space="preserve"> </w:t>
      </w:r>
      <w:proofErr w:type="spellStart"/>
      <w:r w:rsidRPr="00A835D3">
        <w:rPr>
          <w:rFonts w:ascii="Arial" w:hAnsi="Arial" w:cs="Arial"/>
          <w:b/>
          <w:bCs/>
          <w:color w:val="262626"/>
          <w:sz w:val="28"/>
          <w:szCs w:val="28"/>
        </w:rPr>
        <w:t>Navigate</w:t>
      </w:r>
      <w:proofErr w:type="spellEnd"/>
    </w:p>
    <w:p w14:paraId="027E735A" w14:textId="7419E254" w:rsidR="00A835D3" w:rsidRPr="00A835D3" w:rsidRDefault="00A835D3" w:rsidP="00A835D3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  <w:i/>
          <w:color w:val="262626"/>
        </w:rPr>
      </w:pPr>
      <w:r w:rsidRPr="00A835D3">
        <w:rPr>
          <w:rFonts w:ascii="Arial" w:hAnsi="Arial" w:cs="Arial"/>
          <w:b/>
          <w:bCs/>
          <w:i/>
          <w:color w:val="262626"/>
        </w:rPr>
        <w:t>Windchill станет основой цифровизации глобального производства транспортных средств</w:t>
      </w:r>
    </w:p>
    <w:p w14:paraId="0B7C6C10" w14:textId="2D02FEB6" w:rsidR="00DD5504" w:rsidRPr="00A835D3" w:rsidRDefault="00A835D3" w:rsidP="00A835D3">
      <w:pPr>
        <w:spacing w:before="100" w:beforeAutospacing="1" w:after="100" w:afterAutospacing="1" w:line="276" w:lineRule="auto"/>
        <w:jc w:val="both"/>
        <w:rPr>
          <w:rFonts w:ascii="Arial" w:hAnsi="Arial" w:cs="Arial"/>
          <w:i/>
        </w:rPr>
      </w:pPr>
      <w:proofErr w:type="spellStart"/>
      <w:r w:rsidRPr="00A835D3">
        <w:rPr>
          <w:rFonts w:ascii="Arial" w:hAnsi="Arial" w:cs="Arial"/>
          <w:b/>
        </w:rPr>
        <w:t>Нидхэм</w:t>
      </w:r>
      <w:proofErr w:type="spellEnd"/>
      <w:r w:rsidRPr="00A835D3">
        <w:rPr>
          <w:rFonts w:ascii="Arial" w:hAnsi="Arial" w:cs="Arial"/>
          <w:b/>
        </w:rPr>
        <w:t xml:space="preserve">, штат Массачусетс – </w:t>
      </w:r>
      <w:r w:rsidR="00482FA9">
        <w:rPr>
          <w:rFonts w:ascii="Arial" w:hAnsi="Arial" w:cs="Arial"/>
          <w:b/>
        </w:rPr>
        <w:t>24</w:t>
      </w:r>
      <w:bookmarkStart w:id="0" w:name="_GoBack"/>
      <w:bookmarkEnd w:id="0"/>
      <w:r w:rsidRPr="00A835D3">
        <w:rPr>
          <w:rFonts w:ascii="Arial" w:hAnsi="Arial" w:cs="Arial"/>
          <w:b/>
        </w:rPr>
        <w:t xml:space="preserve"> января 2018 г</w:t>
      </w:r>
      <w:r w:rsidRPr="00A835D3">
        <w:rPr>
          <w:rFonts w:ascii="Arial" w:hAnsi="Arial" w:cs="Arial"/>
          <w:i/>
        </w:rPr>
        <w:t xml:space="preserve">. - </w:t>
      </w:r>
      <w:hyperlink r:id="rId7" w:history="1">
        <w:r w:rsidRPr="00A835D3">
          <w:rPr>
            <w:rStyle w:val="a7"/>
            <w:rFonts w:ascii="Arial" w:hAnsi="Arial" w:cs="Arial"/>
            <w:i/>
            <w:lang w:val="en-US"/>
          </w:rPr>
          <w:t>PTC</w:t>
        </w:r>
      </w:hyperlink>
      <w:r w:rsidRPr="00A835D3">
        <w:rPr>
          <w:rFonts w:ascii="Arial" w:hAnsi="Arial" w:cs="Arial"/>
          <w:i/>
        </w:rPr>
        <w:t xml:space="preserve"> (</w:t>
      </w:r>
      <w:r w:rsidRPr="00A835D3">
        <w:rPr>
          <w:rFonts w:ascii="Arial" w:hAnsi="Arial" w:cs="Arial"/>
          <w:i/>
          <w:lang w:val="en-US"/>
        </w:rPr>
        <w:t>NASDAQ</w:t>
      </w:r>
      <w:r w:rsidRPr="00A835D3">
        <w:rPr>
          <w:rFonts w:ascii="Arial" w:hAnsi="Arial" w:cs="Arial"/>
          <w:i/>
        </w:rPr>
        <w:t xml:space="preserve">: </w:t>
      </w:r>
      <w:r w:rsidRPr="00A835D3">
        <w:rPr>
          <w:rFonts w:ascii="Arial" w:hAnsi="Arial" w:cs="Arial"/>
          <w:i/>
          <w:lang w:val="en-US"/>
        </w:rPr>
        <w:t>PTC</w:t>
      </w:r>
      <w:r w:rsidRPr="00A835D3">
        <w:rPr>
          <w:rFonts w:ascii="Arial" w:hAnsi="Arial" w:cs="Arial"/>
          <w:i/>
        </w:rPr>
        <w:t xml:space="preserve">) объявила о том, что </w:t>
      </w:r>
      <w:r w:rsidRPr="00A835D3">
        <w:rPr>
          <w:rFonts w:ascii="Arial" w:hAnsi="Arial" w:cs="Arial"/>
          <w:i/>
          <w:lang w:val="en-US"/>
        </w:rPr>
        <w:t>BMW</w:t>
      </w:r>
      <w:r w:rsidRPr="00A835D3">
        <w:rPr>
          <w:rFonts w:ascii="Arial" w:hAnsi="Arial" w:cs="Arial"/>
          <w:i/>
        </w:rPr>
        <w:t xml:space="preserve"> </w:t>
      </w:r>
      <w:r w:rsidRPr="00A835D3">
        <w:rPr>
          <w:rFonts w:ascii="Arial" w:hAnsi="Arial" w:cs="Arial"/>
          <w:i/>
          <w:lang w:val="en-US"/>
        </w:rPr>
        <w:t>Group</w:t>
      </w:r>
      <w:r w:rsidRPr="00A835D3">
        <w:rPr>
          <w:rFonts w:ascii="Arial" w:hAnsi="Arial" w:cs="Arial"/>
          <w:i/>
        </w:rPr>
        <w:t xml:space="preserve"> будет использовать решение </w:t>
      </w:r>
      <w:r w:rsidRPr="00A835D3">
        <w:rPr>
          <w:rFonts w:ascii="Arial" w:hAnsi="Arial" w:cs="Arial"/>
          <w:i/>
          <w:lang w:val="en-US"/>
        </w:rPr>
        <w:t>PTC</w:t>
      </w:r>
      <w:r w:rsidRPr="00A835D3">
        <w:rPr>
          <w:rFonts w:ascii="Arial" w:hAnsi="Arial" w:cs="Arial"/>
          <w:i/>
        </w:rPr>
        <w:t xml:space="preserve"> </w:t>
      </w:r>
      <w:r w:rsidRPr="00A835D3">
        <w:rPr>
          <w:rFonts w:ascii="Arial" w:hAnsi="Arial" w:cs="Arial"/>
          <w:i/>
          <w:lang w:val="en-US"/>
        </w:rPr>
        <w:t>Windchill</w:t>
      </w:r>
      <w:r w:rsidRPr="00A835D3">
        <w:rPr>
          <w:rFonts w:ascii="Arial" w:hAnsi="Arial" w:cs="Arial"/>
          <w:i/>
        </w:rPr>
        <w:t xml:space="preserve">® в качестве </w:t>
      </w:r>
      <w:r w:rsidRPr="00A835D3">
        <w:rPr>
          <w:rFonts w:ascii="Arial" w:hAnsi="Arial" w:cs="Arial"/>
          <w:i/>
          <w:lang w:val="en-US"/>
        </w:rPr>
        <w:t>PLM</w:t>
      </w:r>
      <w:r w:rsidRPr="00A835D3">
        <w:rPr>
          <w:rFonts w:ascii="Arial" w:hAnsi="Arial" w:cs="Arial"/>
          <w:i/>
        </w:rPr>
        <w:t>-платформы для управления производством и поставщиками стандартных и покупных изделий согласно составу изделия (</w:t>
      </w:r>
      <w:r w:rsidRPr="00A835D3">
        <w:rPr>
          <w:rFonts w:ascii="Arial" w:hAnsi="Arial" w:cs="Arial"/>
          <w:i/>
          <w:lang w:val="en-US"/>
        </w:rPr>
        <w:t>BOM</w:t>
      </w:r>
      <w:r w:rsidRPr="00A835D3">
        <w:rPr>
          <w:rFonts w:ascii="Arial" w:hAnsi="Arial" w:cs="Arial"/>
          <w:i/>
        </w:rPr>
        <w:t xml:space="preserve">). </w:t>
      </w:r>
      <w:r w:rsidRPr="00A835D3">
        <w:rPr>
          <w:rFonts w:ascii="Arial" w:hAnsi="Arial" w:cs="Arial"/>
          <w:i/>
          <w:lang w:val="en-US"/>
        </w:rPr>
        <w:t>Windchill</w:t>
      </w:r>
      <w:r w:rsidRPr="00A835D3">
        <w:rPr>
          <w:rFonts w:ascii="Arial" w:hAnsi="Arial" w:cs="Arial"/>
          <w:i/>
        </w:rPr>
        <w:t xml:space="preserve"> применяется для конфигурирования автомобиля и передачи созданной конфигурации на производство. </w:t>
      </w:r>
      <w:r w:rsidRPr="00A835D3">
        <w:rPr>
          <w:rFonts w:ascii="Arial" w:hAnsi="Arial" w:cs="Arial"/>
          <w:i/>
          <w:lang w:val="en-US"/>
        </w:rPr>
        <w:t>PLM</w:t>
      </w:r>
      <w:r w:rsidRPr="00A835D3">
        <w:rPr>
          <w:rFonts w:ascii="Arial" w:hAnsi="Arial" w:cs="Arial"/>
          <w:i/>
        </w:rPr>
        <w:t xml:space="preserve">-система, </w:t>
      </w:r>
      <w:hyperlink r:id="rId8" w:history="1">
        <w:r w:rsidRPr="00A835D3">
          <w:rPr>
            <w:rStyle w:val="a7"/>
            <w:rFonts w:ascii="Arial" w:hAnsi="Arial" w:cs="Arial"/>
            <w:i/>
          </w:rPr>
          <w:t>неоднократно отмеченная наградами</w:t>
        </w:r>
      </w:hyperlink>
      <w:r w:rsidRPr="00A835D3">
        <w:rPr>
          <w:rFonts w:ascii="Arial" w:hAnsi="Arial" w:cs="Arial"/>
          <w:i/>
        </w:rPr>
        <w:t xml:space="preserve">, будет поддерживать стратегию </w:t>
      </w:r>
      <w:r w:rsidRPr="00A835D3">
        <w:rPr>
          <w:rFonts w:ascii="Arial" w:hAnsi="Arial" w:cs="Arial"/>
          <w:i/>
          <w:lang w:val="en-US"/>
        </w:rPr>
        <w:t>BMW</w:t>
      </w:r>
      <w:r w:rsidRPr="00A835D3">
        <w:rPr>
          <w:rFonts w:ascii="Arial" w:hAnsi="Arial" w:cs="Arial"/>
          <w:i/>
        </w:rPr>
        <w:t xml:space="preserve"> </w:t>
      </w:r>
      <w:r w:rsidRPr="00A835D3">
        <w:rPr>
          <w:rFonts w:ascii="Arial" w:hAnsi="Arial" w:cs="Arial"/>
          <w:i/>
          <w:lang w:val="en-US"/>
        </w:rPr>
        <w:t>Group</w:t>
      </w:r>
      <w:r w:rsidRPr="00A835D3">
        <w:rPr>
          <w:rFonts w:ascii="Arial" w:hAnsi="Arial" w:cs="Arial"/>
          <w:i/>
        </w:rPr>
        <w:t xml:space="preserve">, направленную на повышение эффективности и оптимизацию процесса планирования глобального производства. Кроме того, </w:t>
      </w:r>
      <w:r w:rsidRPr="00A835D3">
        <w:rPr>
          <w:rFonts w:ascii="Arial" w:hAnsi="Arial" w:cs="Arial"/>
          <w:i/>
          <w:lang w:val="en-US"/>
        </w:rPr>
        <w:t>BMW</w:t>
      </w:r>
      <w:r w:rsidRPr="00A835D3">
        <w:rPr>
          <w:rFonts w:ascii="Arial" w:hAnsi="Arial" w:cs="Arial"/>
          <w:i/>
        </w:rPr>
        <w:t xml:space="preserve"> </w:t>
      </w:r>
      <w:r w:rsidRPr="00A835D3">
        <w:rPr>
          <w:rFonts w:ascii="Arial" w:hAnsi="Arial" w:cs="Arial"/>
          <w:i/>
          <w:lang w:val="en-US"/>
        </w:rPr>
        <w:t>Group</w:t>
      </w:r>
      <w:r w:rsidRPr="00A835D3">
        <w:rPr>
          <w:rFonts w:ascii="Arial" w:hAnsi="Arial" w:cs="Arial"/>
          <w:i/>
        </w:rPr>
        <w:t xml:space="preserve"> выбрала приложения </w:t>
      </w:r>
      <w:hyperlink r:id="rId9" w:history="1">
        <w:r w:rsidRPr="00A835D3">
          <w:rPr>
            <w:rStyle w:val="a7"/>
            <w:rFonts w:ascii="Arial" w:hAnsi="Arial" w:cs="Arial"/>
            <w:i/>
            <w:lang w:val="en-US"/>
          </w:rPr>
          <w:t>ThingWorx</w:t>
        </w:r>
        <w:r w:rsidRPr="00A835D3">
          <w:rPr>
            <w:rStyle w:val="a7"/>
            <w:rFonts w:ascii="Arial" w:hAnsi="Arial" w:cs="Arial"/>
            <w:i/>
          </w:rPr>
          <w:t xml:space="preserve">® </w:t>
        </w:r>
        <w:r w:rsidRPr="00A835D3">
          <w:rPr>
            <w:rStyle w:val="a7"/>
            <w:rFonts w:ascii="Arial" w:hAnsi="Arial" w:cs="Arial"/>
            <w:i/>
            <w:lang w:val="en-US"/>
          </w:rPr>
          <w:t>Navigate</w:t>
        </w:r>
        <w:r w:rsidRPr="00A835D3">
          <w:rPr>
            <w:rStyle w:val="a7"/>
            <w:rFonts w:ascii="Arial" w:hAnsi="Arial" w:cs="Arial"/>
            <w:i/>
          </w:rPr>
          <w:t>™</w:t>
        </w:r>
      </w:hyperlink>
      <w:r w:rsidRPr="00A835D3">
        <w:rPr>
          <w:rFonts w:ascii="Arial" w:hAnsi="Arial" w:cs="Arial"/>
          <w:i/>
        </w:rPr>
        <w:t xml:space="preserve"> для быстрого и легкого доступа к данным об изделиях. Лицензии на оба решения предоставляются по подписке.</w:t>
      </w:r>
    </w:p>
    <w:p w14:paraId="5F0AB63B" w14:textId="77777777" w:rsidR="00A835D3" w:rsidRPr="00A835D3" w:rsidRDefault="00A835D3" w:rsidP="00885D10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A835D3">
        <w:rPr>
          <w:rFonts w:ascii="Arial" w:hAnsi="Arial" w:cs="Arial"/>
          <w:lang w:val="en-US"/>
        </w:rPr>
        <w:t>BMW</w:t>
      </w:r>
      <w:r w:rsidRPr="00A835D3">
        <w:rPr>
          <w:rFonts w:ascii="Arial" w:hAnsi="Arial" w:cs="Arial"/>
        </w:rPr>
        <w:t xml:space="preserve"> </w:t>
      </w:r>
      <w:r w:rsidRPr="00A835D3">
        <w:rPr>
          <w:rFonts w:ascii="Arial" w:hAnsi="Arial" w:cs="Arial"/>
          <w:lang w:val="en-US"/>
        </w:rPr>
        <w:t>Group</w:t>
      </w:r>
      <w:r w:rsidRPr="00A835D3">
        <w:rPr>
          <w:rFonts w:ascii="Arial" w:hAnsi="Arial" w:cs="Arial"/>
        </w:rPr>
        <w:t xml:space="preserve"> будет использовать возможности </w:t>
      </w:r>
      <w:r w:rsidRPr="00A835D3">
        <w:rPr>
          <w:rFonts w:ascii="Arial" w:hAnsi="Arial" w:cs="Arial"/>
          <w:lang w:val="en-US"/>
        </w:rPr>
        <w:t>Windchill</w:t>
      </w:r>
      <w:r w:rsidRPr="00A835D3">
        <w:rPr>
          <w:rFonts w:ascii="Arial" w:hAnsi="Arial" w:cs="Arial"/>
        </w:rPr>
        <w:t xml:space="preserve"> для работы с данными по сложным и крупным узлам транспортных средств, чтобы обеспечить массовое производство автомобилей во всем мире, сохраняя при этом гибкость и повышая качество продукции. </w:t>
      </w:r>
      <w:r w:rsidRPr="00A835D3">
        <w:rPr>
          <w:rFonts w:ascii="Arial" w:hAnsi="Arial" w:cs="Arial"/>
          <w:lang w:val="en-US"/>
        </w:rPr>
        <w:t>ThingWorx</w:t>
      </w:r>
      <w:r w:rsidRPr="00A835D3">
        <w:rPr>
          <w:rFonts w:ascii="Arial" w:hAnsi="Arial" w:cs="Arial"/>
        </w:rPr>
        <w:t xml:space="preserve"> </w:t>
      </w:r>
      <w:r w:rsidRPr="00A835D3">
        <w:rPr>
          <w:rFonts w:ascii="Arial" w:hAnsi="Arial" w:cs="Arial"/>
          <w:lang w:val="en-US"/>
        </w:rPr>
        <w:t>Navigate</w:t>
      </w:r>
      <w:r w:rsidRPr="00A835D3">
        <w:rPr>
          <w:rFonts w:ascii="Arial" w:hAnsi="Arial" w:cs="Arial"/>
        </w:rPr>
        <w:t xml:space="preserve"> поддерживает планирование параллельного производства, позволяя </w:t>
      </w:r>
      <w:r w:rsidRPr="00A835D3">
        <w:rPr>
          <w:rFonts w:ascii="Arial" w:hAnsi="Arial" w:cs="Arial"/>
          <w:lang w:val="en-US"/>
        </w:rPr>
        <w:t>BMW</w:t>
      </w:r>
      <w:r w:rsidRPr="00A835D3">
        <w:rPr>
          <w:rFonts w:ascii="Arial" w:hAnsi="Arial" w:cs="Arial"/>
        </w:rPr>
        <w:t xml:space="preserve"> </w:t>
      </w:r>
      <w:r w:rsidRPr="00A835D3">
        <w:rPr>
          <w:rFonts w:ascii="Arial" w:hAnsi="Arial" w:cs="Arial"/>
          <w:lang w:val="en-US"/>
        </w:rPr>
        <w:t>Group</w:t>
      </w:r>
      <w:r w:rsidRPr="00A835D3">
        <w:rPr>
          <w:rFonts w:ascii="Arial" w:hAnsi="Arial" w:cs="Arial"/>
        </w:rPr>
        <w:t xml:space="preserve"> сократить общее время вывода автомобилей на рынок.</w:t>
      </w:r>
    </w:p>
    <w:p w14:paraId="38FDEE98" w14:textId="08931CB7" w:rsidR="00A835D3" w:rsidRPr="00A835D3" w:rsidRDefault="00A835D3" w:rsidP="00885D10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A835D3">
        <w:rPr>
          <w:rFonts w:ascii="Arial" w:hAnsi="Arial" w:cs="Arial"/>
          <w:lang w:val="en-US"/>
        </w:rPr>
        <w:t>Windchill</w:t>
      </w:r>
      <w:r w:rsidRPr="00A835D3">
        <w:rPr>
          <w:rFonts w:ascii="Arial" w:hAnsi="Arial" w:cs="Arial"/>
        </w:rPr>
        <w:t xml:space="preserve"> – это надежное </w:t>
      </w:r>
      <w:r w:rsidRPr="00A835D3">
        <w:rPr>
          <w:rFonts w:ascii="Arial" w:hAnsi="Arial" w:cs="Arial"/>
          <w:lang w:val="en-US"/>
        </w:rPr>
        <w:t>end</w:t>
      </w:r>
      <w:r w:rsidRPr="00A835D3">
        <w:rPr>
          <w:rFonts w:ascii="Arial" w:hAnsi="Arial" w:cs="Arial"/>
        </w:rPr>
        <w:t>-</w:t>
      </w:r>
      <w:r w:rsidRPr="00A835D3">
        <w:rPr>
          <w:rFonts w:ascii="Arial" w:hAnsi="Arial" w:cs="Arial"/>
          <w:lang w:val="en-US"/>
        </w:rPr>
        <w:t>to</w:t>
      </w:r>
      <w:r w:rsidRPr="00A835D3">
        <w:rPr>
          <w:rFonts w:ascii="Arial" w:hAnsi="Arial" w:cs="Arial"/>
        </w:rPr>
        <w:t>-</w:t>
      </w:r>
      <w:r w:rsidRPr="00A835D3">
        <w:rPr>
          <w:rFonts w:ascii="Arial" w:hAnsi="Arial" w:cs="Arial"/>
          <w:lang w:val="en-US"/>
        </w:rPr>
        <w:t>end</w:t>
      </w:r>
      <w:r w:rsidRPr="00A835D3">
        <w:rPr>
          <w:rFonts w:ascii="Arial" w:hAnsi="Arial" w:cs="Arial"/>
        </w:rPr>
        <w:t xml:space="preserve"> </w:t>
      </w:r>
      <w:r w:rsidRPr="00A835D3">
        <w:rPr>
          <w:rFonts w:ascii="Arial" w:hAnsi="Arial" w:cs="Arial"/>
          <w:lang w:val="en-US"/>
        </w:rPr>
        <w:t>PLM</w:t>
      </w:r>
      <w:r w:rsidRPr="00A835D3">
        <w:rPr>
          <w:rFonts w:ascii="Arial" w:hAnsi="Arial" w:cs="Arial"/>
        </w:rPr>
        <w:t xml:space="preserve">-решение, которое объединяет функциональные возможности </w:t>
      </w:r>
      <w:r w:rsidRPr="00A835D3">
        <w:rPr>
          <w:rFonts w:ascii="Arial" w:hAnsi="Arial" w:cs="Arial"/>
          <w:lang w:val="en-US"/>
        </w:rPr>
        <w:t>PLM</w:t>
      </w:r>
      <w:r w:rsidR="000C4F7B">
        <w:rPr>
          <w:rFonts w:ascii="Arial" w:hAnsi="Arial" w:cs="Arial"/>
        </w:rPr>
        <w:t>-</w:t>
      </w:r>
      <w:r w:rsidRPr="00A835D3">
        <w:rPr>
          <w:rFonts w:ascii="Arial" w:hAnsi="Arial" w:cs="Arial"/>
        </w:rPr>
        <w:t xml:space="preserve">системы </w:t>
      </w:r>
      <w:r w:rsidR="000C4F7B">
        <w:rPr>
          <w:rFonts w:ascii="Arial" w:hAnsi="Arial" w:cs="Arial"/>
        </w:rPr>
        <w:t>и</w:t>
      </w:r>
      <w:r w:rsidRPr="00A835D3">
        <w:rPr>
          <w:rFonts w:ascii="Arial" w:hAnsi="Arial" w:cs="Arial"/>
        </w:rPr>
        <w:t xml:space="preserve"> инновационной </w:t>
      </w:r>
      <w:hyperlink r:id="rId10" w:history="1">
        <w:r w:rsidRPr="00A835D3">
          <w:rPr>
            <w:rStyle w:val="a7"/>
            <w:rFonts w:ascii="Arial" w:hAnsi="Arial" w:cs="Arial"/>
            <w:lang w:val="en-US"/>
          </w:rPr>
          <w:t>IoT</w:t>
        </w:r>
        <w:r w:rsidRPr="00A835D3">
          <w:rPr>
            <w:rStyle w:val="a7"/>
            <w:rFonts w:ascii="Arial" w:hAnsi="Arial" w:cs="Arial"/>
          </w:rPr>
          <w:t xml:space="preserve">-платформы </w:t>
        </w:r>
        <w:r w:rsidRPr="00A835D3">
          <w:rPr>
            <w:rStyle w:val="a7"/>
            <w:rFonts w:ascii="Arial" w:hAnsi="Arial" w:cs="Arial"/>
            <w:lang w:val="en-US"/>
          </w:rPr>
          <w:t>ThingWorx</w:t>
        </w:r>
      </w:hyperlink>
      <w:r w:rsidRPr="00A835D3">
        <w:rPr>
          <w:rFonts w:ascii="Arial" w:hAnsi="Arial" w:cs="Arial"/>
        </w:rPr>
        <w:t xml:space="preserve"> от </w:t>
      </w:r>
      <w:r w:rsidRPr="00A835D3">
        <w:rPr>
          <w:rFonts w:ascii="Arial" w:hAnsi="Arial" w:cs="Arial"/>
          <w:lang w:val="en-US"/>
        </w:rPr>
        <w:t>PTC</w:t>
      </w:r>
      <w:r w:rsidRPr="00A835D3">
        <w:rPr>
          <w:rFonts w:ascii="Arial" w:hAnsi="Arial" w:cs="Arial"/>
        </w:rPr>
        <w:t xml:space="preserve">. Приложения </w:t>
      </w:r>
      <w:r w:rsidRPr="00A835D3">
        <w:rPr>
          <w:rFonts w:ascii="Arial" w:hAnsi="Arial" w:cs="Arial"/>
          <w:lang w:val="en-US"/>
        </w:rPr>
        <w:t>ThingWorx</w:t>
      </w:r>
      <w:r w:rsidRPr="00A835D3">
        <w:rPr>
          <w:rFonts w:ascii="Arial" w:hAnsi="Arial" w:cs="Arial"/>
        </w:rPr>
        <w:t xml:space="preserve"> </w:t>
      </w:r>
      <w:r w:rsidRPr="00A835D3">
        <w:rPr>
          <w:rFonts w:ascii="Arial" w:hAnsi="Arial" w:cs="Arial"/>
          <w:lang w:val="en-US"/>
        </w:rPr>
        <w:t>Navigate</w:t>
      </w:r>
      <w:r w:rsidRPr="00A835D3">
        <w:rPr>
          <w:rFonts w:ascii="Arial" w:hAnsi="Arial" w:cs="Arial"/>
        </w:rPr>
        <w:t xml:space="preserve"> позволяют организациям значительно повысить производительность совместной работы над проектами и сделать ее более удобной, радикально упростив доступ к данным, необходимым конкретному пользователю для выполнения производственных задач. Это решение предоставляет возможность получить доступ к точным данным об изделии тем сотрудникам, которые не имеют опыта работы с </w:t>
      </w:r>
      <w:r w:rsidRPr="00A835D3">
        <w:rPr>
          <w:rFonts w:ascii="Arial" w:hAnsi="Arial" w:cs="Arial"/>
          <w:lang w:val="en-US"/>
        </w:rPr>
        <w:t>PLM</w:t>
      </w:r>
      <w:r w:rsidRPr="00A835D3">
        <w:rPr>
          <w:rFonts w:ascii="Arial" w:hAnsi="Arial" w:cs="Arial"/>
        </w:rPr>
        <w:t xml:space="preserve">-системами. </w:t>
      </w:r>
      <w:r w:rsidRPr="00A835D3">
        <w:rPr>
          <w:rFonts w:ascii="Arial" w:hAnsi="Arial" w:cs="Arial"/>
          <w:lang w:val="en-US"/>
        </w:rPr>
        <w:t>ThingWorx</w:t>
      </w:r>
      <w:r w:rsidRPr="00A835D3">
        <w:rPr>
          <w:rFonts w:ascii="Arial" w:hAnsi="Arial" w:cs="Arial"/>
        </w:rPr>
        <w:t xml:space="preserve"> </w:t>
      </w:r>
      <w:r w:rsidRPr="00A835D3">
        <w:rPr>
          <w:rFonts w:ascii="Arial" w:hAnsi="Arial" w:cs="Arial"/>
          <w:lang w:val="en-US"/>
        </w:rPr>
        <w:t>Navigate</w:t>
      </w:r>
      <w:r w:rsidRPr="00A835D3">
        <w:rPr>
          <w:rFonts w:ascii="Arial" w:hAnsi="Arial" w:cs="Arial"/>
        </w:rPr>
        <w:t xml:space="preserve"> поддерживает планирование параллельного производства, благодаря которому можно сократить цикл разработки и общее время выхода на рынок новых изделий.</w:t>
      </w:r>
    </w:p>
    <w:p w14:paraId="3E5DECBA" w14:textId="36543B22" w:rsidR="00A835D3" w:rsidRPr="00A835D3" w:rsidRDefault="00A835D3" w:rsidP="00885D10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A835D3">
        <w:rPr>
          <w:rFonts w:ascii="Arial" w:hAnsi="Arial" w:cs="Arial"/>
        </w:rPr>
        <w:t xml:space="preserve">«Мы рады, что </w:t>
      </w:r>
      <w:r w:rsidRPr="00A835D3">
        <w:rPr>
          <w:rFonts w:ascii="Arial" w:hAnsi="Arial" w:cs="Arial"/>
          <w:lang w:val="en-US"/>
        </w:rPr>
        <w:t>BMW</w:t>
      </w:r>
      <w:r w:rsidRPr="00A835D3">
        <w:rPr>
          <w:rFonts w:ascii="Arial" w:hAnsi="Arial" w:cs="Arial"/>
        </w:rPr>
        <w:t xml:space="preserve"> </w:t>
      </w:r>
      <w:r w:rsidRPr="00A835D3">
        <w:rPr>
          <w:rFonts w:ascii="Arial" w:hAnsi="Arial" w:cs="Arial"/>
          <w:lang w:val="en-US"/>
        </w:rPr>
        <w:t>Group</w:t>
      </w:r>
      <w:r w:rsidRPr="00A835D3">
        <w:rPr>
          <w:rFonts w:ascii="Arial" w:hAnsi="Arial" w:cs="Arial"/>
        </w:rPr>
        <w:t xml:space="preserve"> выбрала </w:t>
      </w:r>
      <w:r w:rsidRPr="00A835D3">
        <w:rPr>
          <w:rFonts w:ascii="Arial" w:hAnsi="Arial" w:cs="Arial"/>
          <w:lang w:val="en-US"/>
        </w:rPr>
        <w:t>Windchill</w:t>
      </w:r>
      <w:r w:rsidRPr="00A835D3">
        <w:rPr>
          <w:rFonts w:ascii="Arial" w:hAnsi="Arial" w:cs="Arial"/>
        </w:rPr>
        <w:t xml:space="preserve"> и </w:t>
      </w:r>
      <w:r w:rsidRPr="00A835D3">
        <w:rPr>
          <w:rFonts w:ascii="Arial" w:hAnsi="Arial" w:cs="Arial"/>
          <w:lang w:val="en-US"/>
        </w:rPr>
        <w:t>ThingWorx</w:t>
      </w:r>
      <w:r w:rsidRPr="00A835D3">
        <w:rPr>
          <w:rFonts w:ascii="Arial" w:hAnsi="Arial" w:cs="Arial"/>
        </w:rPr>
        <w:t xml:space="preserve"> </w:t>
      </w:r>
      <w:r w:rsidRPr="00A835D3">
        <w:rPr>
          <w:rFonts w:ascii="Arial" w:hAnsi="Arial" w:cs="Arial"/>
          <w:lang w:val="en-US"/>
        </w:rPr>
        <w:t>Navigate</w:t>
      </w:r>
      <w:r w:rsidRPr="00A835D3">
        <w:rPr>
          <w:rFonts w:ascii="Arial" w:hAnsi="Arial" w:cs="Arial"/>
        </w:rPr>
        <w:t xml:space="preserve"> для поддержки цифровизации производства, </w:t>
      </w:r>
      <w:r w:rsidR="006749E4" w:rsidRPr="00A835D3">
        <w:rPr>
          <w:rFonts w:ascii="Arial" w:hAnsi="Arial" w:cs="Arial"/>
        </w:rPr>
        <w:t>–</w:t>
      </w:r>
      <w:r w:rsidRPr="00A835D3">
        <w:rPr>
          <w:rFonts w:ascii="Arial" w:hAnsi="Arial" w:cs="Arial"/>
        </w:rPr>
        <w:t xml:space="preserve"> комментирует Джим </w:t>
      </w:r>
      <w:proofErr w:type="spellStart"/>
      <w:r w:rsidRPr="00A835D3">
        <w:rPr>
          <w:rFonts w:ascii="Arial" w:hAnsi="Arial" w:cs="Arial"/>
        </w:rPr>
        <w:t>Хеппельманн</w:t>
      </w:r>
      <w:proofErr w:type="spellEnd"/>
      <w:r w:rsidRPr="00A835D3">
        <w:rPr>
          <w:rFonts w:ascii="Arial" w:hAnsi="Arial" w:cs="Arial"/>
        </w:rPr>
        <w:t xml:space="preserve">, президент и генеральный директор </w:t>
      </w:r>
      <w:r w:rsidRPr="00A835D3">
        <w:rPr>
          <w:rFonts w:ascii="Arial" w:hAnsi="Arial" w:cs="Arial"/>
          <w:lang w:val="en-US"/>
        </w:rPr>
        <w:t>PTC</w:t>
      </w:r>
      <w:r w:rsidRPr="00A835D3">
        <w:rPr>
          <w:rFonts w:ascii="Arial" w:hAnsi="Arial" w:cs="Arial"/>
        </w:rPr>
        <w:t xml:space="preserve">. </w:t>
      </w:r>
      <w:r w:rsidR="006749E4" w:rsidRPr="00A835D3">
        <w:rPr>
          <w:rFonts w:ascii="Arial" w:hAnsi="Arial" w:cs="Arial"/>
        </w:rPr>
        <w:t>–</w:t>
      </w:r>
      <w:r w:rsidRPr="00A835D3">
        <w:rPr>
          <w:rFonts w:ascii="Arial" w:hAnsi="Arial" w:cs="Arial"/>
        </w:rPr>
        <w:t xml:space="preserve"> Мы гордимся тем, что помогаем </w:t>
      </w:r>
      <w:r w:rsidRPr="00A835D3">
        <w:rPr>
          <w:rFonts w:ascii="Arial" w:hAnsi="Arial" w:cs="Arial"/>
          <w:lang w:val="en-US"/>
        </w:rPr>
        <w:t>BMW</w:t>
      </w:r>
      <w:r w:rsidRPr="00A835D3">
        <w:rPr>
          <w:rFonts w:ascii="Arial" w:hAnsi="Arial" w:cs="Arial"/>
        </w:rPr>
        <w:t xml:space="preserve"> </w:t>
      </w:r>
      <w:r w:rsidRPr="00A835D3">
        <w:rPr>
          <w:rFonts w:ascii="Arial" w:hAnsi="Arial" w:cs="Arial"/>
          <w:lang w:val="en-US"/>
        </w:rPr>
        <w:lastRenderedPageBreak/>
        <w:t>Group</w:t>
      </w:r>
      <w:r w:rsidRPr="00A835D3">
        <w:rPr>
          <w:rFonts w:ascii="Arial" w:hAnsi="Arial" w:cs="Arial"/>
        </w:rPr>
        <w:t xml:space="preserve"> повысить эффективность планирования и производства автомобилей мирового класса».</w:t>
      </w:r>
    </w:p>
    <w:p w14:paraId="6FA5844E" w14:textId="77777777" w:rsidR="00A835D3" w:rsidRPr="00A835D3" w:rsidRDefault="00A835D3" w:rsidP="00885D10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</w:rPr>
      </w:pPr>
      <w:r w:rsidRPr="00A835D3">
        <w:rPr>
          <w:rFonts w:ascii="Arial" w:hAnsi="Arial" w:cs="Arial"/>
          <w:b/>
        </w:rPr>
        <w:t>Дополнительные ресурсы</w:t>
      </w:r>
    </w:p>
    <w:p w14:paraId="43A30B57" w14:textId="77777777" w:rsidR="00885D10" w:rsidRPr="00885D10" w:rsidRDefault="00A835D3" w:rsidP="00885D10">
      <w:pPr>
        <w:pStyle w:val="a8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Style w:val="a7"/>
          <w:rFonts w:ascii="Arial" w:hAnsi="Arial" w:cs="Arial"/>
        </w:rPr>
      </w:pPr>
      <w:r w:rsidRPr="00885D10">
        <w:rPr>
          <w:rFonts w:ascii="Arial" w:hAnsi="Arial" w:cs="Arial"/>
          <w:lang w:val="en-US"/>
        </w:rPr>
        <w:t>Forrester</w:t>
      </w:r>
      <w:r w:rsidRPr="00885D10">
        <w:rPr>
          <w:rFonts w:ascii="Arial" w:hAnsi="Arial" w:cs="Arial"/>
        </w:rPr>
        <w:t xml:space="preserve"> </w:t>
      </w:r>
      <w:r w:rsidRPr="00885D10">
        <w:rPr>
          <w:rFonts w:ascii="Arial" w:hAnsi="Arial" w:cs="Arial"/>
          <w:lang w:val="en-US"/>
        </w:rPr>
        <w:t>Wave</w:t>
      </w:r>
      <w:r w:rsidRPr="00885D10">
        <w:rPr>
          <w:rFonts w:ascii="Arial" w:hAnsi="Arial" w:cs="Arial"/>
        </w:rPr>
        <w:t xml:space="preserve">™: </w:t>
      </w:r>
      <w:hyperlink r:id="rId11" w:history="1">
        <w:r w:rsidRPr="00885D10">
          <w:rPr>
            <w:rStyle w:val="a7"/>
            <w:rFonts w:ascii="Arial" w:hAnsi="Arial" w:cs="Arial"/>
          </w:rPr>
          <w:t xml:space="preserve">управление жизненным циклом изделий для дискретных производств, </w:t>
        </w:r>
        <w:r w:rsidRPr="00885D10">
          <w:rPr>
            <w:rStyle w:val="a7"/>
            <w:rFonts w:ascii="Arial" w:hAnsi="Arial" w:cs="Arial"/>
            <w:lang w:val="en-US"/>
          </w:rPr>
          <w:t>Q</w:t>
        </w:r>
        <w:r w:rsidRPr="00885D10">
          <w:rPr>
            <w:rStyle w:val="a7"/>
            <w:rFonts w:ascii="Arial" w:hAnsi="Arial" w:cs="Arial"/>
          </w:rPr>
          <w:t>4 2017</w:t>
        </w:r>
      </w:hyperlink>
    </w:p>
    <w:p w14:paraId="746B7642" w14:textId="0FE447CC" w:rsidR="00A835D3" w:rsidRPr="00885D10" w:rsidRDefault="004B4C41" w:rsidP="00885D10">
      <w:pPr>
        <w:pStyle w:val="a8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hyperlink r:id="rId12" w:history="1">
        <w:r w:rsidR="00A835D3" w:rsidRPr="00885D10">
          <w:rPr>
            <w:rStyle w:val="a7"/>
            <w:rFonts w:ascii="Arial" w:hAnsi="Arial" w:cs="Arial"/>
            <w:lang w:val="en-US"/>
          </w:rPr>
          <w:t>PTC</w:t>
        </w:r>
        <w:r w:rsidR="00A835D3" w:rsidRPr="00885D10">
          <w:rPr>
            <w:rStyle w:val="a7"/>
            <w:rFonts w:ascii="Arial" w:hAnsi="Arial" w:cs="Arial"/>
          </w:rPr>
          <w:t xml:space="preserve"> </w:t>
        </w:r>
        <w:r w:rsidR="00A835D3" w:rsidRPr="00885D10">
          <w:rPr>
            <w:rStyle w:val="a7"/>
            <w:rFonts w:ascii="Arial" w:hAnsi="Arial" w:cs="Arial"/>
            <w:lang w:val="en-US"/>
          </w:rPr>
          <w:t>Windchill</w:t>
        </w:r>
      </w:hyperlink>
    </w:p>
    <w:p w14:paraId="59A4C34D" w14:textId="77777777" w:rsidR="00A835D3" w:rsidRPr="00885D10" w:rsidRDefault="004B4C41" w:rsidP="00885D10">
      <w:pPr>
        <w:pStyle w:val="a8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hyperlink r:id="rId13" w:history="1">
        <w:proofErr w:type="spellStart"/>
        <w:r w:rsidR="00A835D3" w:rsidRPr="00885D10">
          <w:rPr>
            <w:rStyle w:val="a7"/>
            <w:rFonts w:ascii="Arial" w:hAnsi="Arial" w:cs="Arial"/>
            <w:lang w:val="en-US"/>
          </w:rPr>
          <w:t>ThingWorx</w:t>
        </w:r>
        <w:proofErr w:type="spellEnd"/>
        <w:r w:rsidR="00A835D3" w:rsidRPr="00885D10">
          <w:rPr>
            <w:rStyle w:val="a7"/>
            <w:rFonts w:ascii="Arial" w:hAnsi="Arial" w:cs="Arial"/>
          </w:rPr>
          <w:t xml:space="preserve"> </w:t>
        </w:r>
        <w:proofErr w:type="spellStart"/>
        <w:r w:rsidR="00A835D3" w:rsidRPr="00885D10">
          <w:rPr>
            <w:rStyle w:val="a7"/>
            <w:rFonts w:ascii="Arial" w:hAnsi="Arial" w:cs="Arial"/>
          </w:rPr>
          <w:t>Navigate</w:t>
        </w:r>
        <w:proofErr w:type="spellEnd"/>
      </w:hyperlink>
    </w:p>
    <w:p w14:paraId="597B70DC" w14:textId="20E54E98" w:rsidR="00A835D3" w:rsidRPr="00885D10" w:rsidRDefault="00A835D3" w:rsidP="00885D10">
      <w:pPr>
        <w:pStyle w:val="a8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85D10">
        <w:rPr>
          <w:rFonts w:ascii="Arial" w:hAnsi="Arial" w:cs="Arial"/>
          <w:lang w:val="en-US"/>
        </w:rPr>
        <w:t>Harvard</w:t>
      </w:r>
      <w:r w:rsidRPr="00885D10">
        <w:rPr>
          <w:rFonts w:ascii="Arial" w:hAnsi="Arial" w:cs="Arial"/>
        </w:rPr>
        <w:t xml:space="preserve"> </w:t>
      </w:r>
      <w:r w:rsidRPr="00885D10">
        <w:rPr>
          <w:rFonts w:ascii="Arial" w:hAnsi="Arial" w:cs="Arial"/>
          <w:lang w:val="en-US"/>
        </w:rPr>
        <w:t>Business</w:t>
      </w:r>
      <w:r w:rsidRPr="00885D10">
        <w:rPr>
          <w:rFonts w:ascii="Arial" w:hAnsi="Arial" w:cs="Arial"/>
        </w:rPr>
        <w:t xml:space="preserve"> </w:t>
      </w:r>
      <w:r w:rsidRPr="00885D10">
        <w:rPr>
          <w:rFonts w:ascii="Arial" w:hAnsi="Arial" w:cs="Arial"/>
          <w:lang w:val="en-US"/>
        </w:rPr>
        <w:t>Review</w:t>
      </w:r>
      <w:r w:rsidRPr="00885D10">
        <w:rPr>
          <w:rFonts w:ascii="Arial" w:hAnsi="Arial" w:cs="Arial"/>
        </w:rPr>
        <w:t>: «</w:t>
      </w:r>
      <w:hyperlink r:id="rId14" w:history="1">
        <w:r w:rsidRPr="00885D10">
          <w:rPr>
            <w:rStyle w:val="a7"/>
            <w:rFonts w:ascii="Arial" w:hAnsi="Arial" w:cs="Arial"/>
          </w:rPr>
          <w:t xml:space="preserve">Почему каждой организации необходима </w:t>
        </w:r>
        <w:r w:rsidRPr="00885D10">
          <w:rPr>
            <w:rStyle w:val="a7"/>
            <w:rFonts w:ascii="Arial" w:hAnsi="Arial" w:cs="Arial"/>
            <w:lang w:val="en-US"/>
          </w:rPr>
          <w:t>AR</w:t>
        </w:r>
        <w:r w:rsidRPr="00885D10">
          <w:rPr>
            <w:rStyle w:val="a7"/>
            <w:rFonts w:ascii="Arial" w:hAnsi="Arial" w:cs="Arial"/>
          </w:rPr>
          <w:t>-стратегия</w:t>
        </w:r>
      </w:hyperlink>
      <w:r w:rsidRPr="00885D10">
        <w:rPr>
          <w:rFonts w:ascii="Arial" w:hAnsi="Arial" w:cs="Arial"/>
        </w:rPr>
        <w:t xml:space="preserve">»,  Генеральный директор </w:t>
      </w:r>
      <w:r w:rsidRPr="00885D10">
        <w:rPr>
          <w:rFonts w:ascii="Arial" w:hAnsi="Arial" w:cs="Arial"/>
          <w:lang w:val="en-US"/>
        </w:rPr>
        <w:t>PTC</w:t>
      </w:r>
      <w:r w:rsidRPr="00885D10">
        <w:rPr>
          <w:rFonts w:ascii="Arial" w:hAnsi="Arial" w:cs="Arial"/>
        </w:rPr>
        <w:t xml:space="preserve"> Джим </w:t>
      </w:r>
      <w:proofErr w:type="spellStart"/>
      <w:r w:rsidRPr="00885D10">
        <w:rPr>
          <w:rFonts w:ascii="Arial" w:hAnsi="Arial" w:cs="Arial"/>
        </w:rPr>
        <w:t>Хеппельманн</w:t>
      </w:r>
      <w:proofErr w:type="spellEnd"/>
      <w:r w:rsidRPr="00885D10">
        <w:rPr>
          <w:rFonts w:ascii="Arial" w:hAnsi="Arial" w:cs="Arial"/>
        </w:rPr>
        <w:t xml:space="preserve"> и Профессор Гарварда Майкл Портер</w:t>
      </w:r>
    </w:p>
    <w:p w14:paraId="5B6C56F2" w14:textId="0955DF23" w:rsidR="00A266EB" w:rsidRPr="00A835D3" w:rsidRDefault="00A266EB" w:rsidP="00A835D3">
      <w:pPr>
        <w:spacing w:before="100" w:beforeAutospacing="1" w:after="100" w:afterAutospacing="1"/>
        <w:jc w:val="both"/>
        <w:rPr>
          <w:rFonts w:ascii="Arial" w:hAnsi="Arial" w:cs="Arial"/>
          <w:b/>
          <w:color w:val="262626"/>
        </w:rPr>
      </w:pPr>
      <w:r w:rsidRPr="00A835D3">
        <w:rPr>
          <w:rFonts w:ascii="Arial" w:hAnsi="Arial" w:cs="Arial"/>
          <w:b/>
          <w:color w:val="262626"/>
        </w:rPr>
        <w:t xml:space="preserve">О компании </w:t>
      </w:r>
      <w:r w:rsidRPr="00A835D3">
        <w:rPr>
          <w:rFonts w:ascii="Arial" w:hAnsi="Arial" w:cs="Arial"/>
          <w:b/>
          <w:color w:val="262626"/>
          <w:lang w:val="en-US"/>
        </w:rPr>
        <w:t>PTC</w:t>
      </w:r>
    </w:p>
    <w:p w14:paraId="66505A54" w14:textId="77777777" w:rsidR="00A266EB" w:rsidRPr="00A835D3" w:rsidRDefault="00A266EB" w:rsidP="00A835D3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A835D3">
        <w:rPr>
          <w:rFonts w:ascii="Arial" w:hAnsi="Arial" w:cs="Arial"/>
          <w:color w:val="262626"/>
        </w:rPr>
        <w:t xml:space="preserve">Компания </w:t>
      </w:r>
      <w:r w:rsidRPr="00A835D3">
        <w:rPr>
          <w:rFonts w:ascii="Arial" w:hAnsi="Arial" w:cs="Arial"/>
          <w:color w:val="262626"/>
          <w:lang w:val="en-US"/>
        </w:rPr>
        <w:t>PTC</w:t>
      </w:r>
      <w:r w:rsidRPr="00A835D3">
        <w:rPr>
          <w:rFonts w:ascii="Arial" w:hAnsi="Arial" w:cs="Arial"/>
          <w:color w:val="262626"/>
        </w:rPr>
        <w:t xml:space="preserve"> (</w:t>
      </w:r>
      <w:r w:rsidRPr="00A835D3">
        <w:rPr>
          <w:rFonts w:ascii="Arial" w:hAnsi="Arial" w:cs="Arial"/>
          <w:color w:val="262626"/>
          <w:lang w:val="en-US"/>
        </w:rPr>
        <w:t>NASDAQ</w:t>
      </w:r>
      <w:r w:rsidRPr="00A835D3">
        <w:rPr>
          <w:rFonts w:ascii="Arial" w:hAnsi="Arial" w:cs="Arial"/>
          <w:color w:val="262626"/>
        </w:rPr>
        <w:t xml:space="preserve">: </w:t>
      </w:r>
      <w:r w:rsidRPr="00A835D3">
        <w:rPr>
          <w:rFonts w:ascii="Arial" w:hAnsi="Arial" w:cs="Arial"/>
          <w:color w:val="262626"/>
          <w:lang w:val="en-US"/>
        </w:rPr>
        <w:t>PTC</w:t>
      </w:r>
      <w:r w:rsidRPr="00A835D3">
        <w:rPr>
          <w:rFonts w:ascii="Arial" w:hAnsi="Arial" w:cs="Arial"/>
          <w:color w:val="262626"/>
        </w:rPr>
        <w:t>) обладает полным портфолио программных технологий для Промышленного Интернета вещей. В 1986 году мы совершили революцию в цифровом 3</w:t>
      </w:r>
      <w:r w:rsidRPr="00A835D3">
        <w:rPr>
          <w:rFonts w:ascii="Arial" w:hAnsi="Arial" w:cs="Arial"/>
          <w:color w:val="262626"/>
          <w:lang w:val="en-US"/>
        </w:rPr>
        <w:t>D</w:t>
      </w:r>
      <w:r w:rsidRPr="00A835D3">
        <w:rPr>
          <w:rFonts w:ascii="Arial" w:hAnsi="Arial" w:cs="Arial"/>
          <w:color w:val="262626"/>
        </w:rPr>
        <w:t xml:space="preserve">-моделировании и сделали инжиниринговую подготовку производства общедоступной и простой. Теперь проверенные решения </w:t>
      </w:r>
      <w:r w:rsidRPr="00A835D3">
        <w:rPr>
          <w:rFonts w:ascii="Arial" w:hAnsi="Arial" w:cs="Arial"/>
          <w:color w:val="262626"/>
          <w:lang w:val="en-US"/>
        </w:rPr>
        <w:t>PTC</w:t>
      </w:r>
      <w:r w:rsidRPr="00A835D3">
        <w:rPr>
          <w:rFonts w:ascii="Arial" w:hAnsi="Arial" w:cs="Arial"/>
          <w:color w:val="262626"/>
        </w:rPr>
        <w:t xml:space="preserve"> и платформы Интернета вещей вместе с технологией дополненной реальности объединяют физическую суть вещей и цифровое представление их внутреннего содержания, чтобы компании смогли легко трансформировать свой подход к созданию, эксплуатации и обслуживанию изделий. С помощью технологий </w:t>
      </w:r>
      <w:r w:rsidRPr="00A835D3">
        <w:rPr>
          <w:rFonts w:ascii="Arial" w:hAnsi="Arial" w:cs="Arial"/>
          <w:color w:val="262626"/>
          <w:lang w:val="en-US"/>
        </w:rPr>
        <w:t>PTC</w:t>
      </w:r>
      <w:r w:rsidRPr="00A835D3">
        <w:rPr>
          <w:rFonts w:ascii="Arial" w:hAnsi="Arial" w:cs="Arial"/>
          <w:color w:val="262626"/>
        </w:rPr>
        <w:t xml:space="preserve"> производители, сервисные партнёры и конструкторы могут уже сегодня использовать потенциал Интернета вещей, создавая инновационные продукты.</w:t>
      </w:r>
      <w:r w:rsidRPr="00A835D3">
        <w:rPr>
          <w:rFonts w:ascii="Arial" w:hAnsi="Arial" w:cs="Arial"/>
        </w:rPr>
        <w:t xml:space="preserve"> </w:t>
      </w:r>
    </w:p>
    <w:p w14:paraId="33A62F3E" w14:textId="77777777" w:rsidR="00A266EB" w:rsidRPr="00A835D3" w:rsidRDefault="004B4C41" w:rsidP="00A835D3">
      <w:pPr>
        <w:spacing w:before="100" w:beforeAutospacing="1" w:after="100" w:afterAutospacing="1" w:line="276" w:lineRule="auto"/>
        <w:jc w:val="both"/>
        <w:rPr>
          <w:rStyle w:val="a7"/>
          <w:rFonts w:ascii="Arial" w:hAnsi="Arial" w:cs="Arial"/>
        </w:rPr>
      </w:pPr>
      <w:hyperlink r:id="rId15" w:history="1">
        <w:r w:rsidR="00A266EB" w:rsidRPr="00A835D3">
          <w:rPr>
            <w:rStyle w:val="a7"/>
            <w:rFonts w:ascii="Arial" w:hAnsi="Arial" w:cs="Arial"/>
          </w:rPr>
          <w:t>PTC.com</w:t>
        </w:r>
      </w:hyperlink>
      <w:r w:rsidR="00A266EB" w:rsidRPr="00A835D3">
        <w:rPr>
          <w:rFonts w:ascii="Arial" w:hAnsi="Arial" w:cs="Arial"/>
        </w:rPr>
        <w:t xml:space="preserve"> </w:t>
      </w:r>
      <w:hyperlink r:id="rId16" w:history="1">
        <w:r w:rsidR="00A266EB" w:rsidRPr="00A835D3">
          <w:rPr>
            <w:rStyle w:val="a7"/>
            <w:rFonts w:ascii="Arial" w:hAnsi="Arial" w:cs="Arial"/>
          </w:rPr>
          <w:t>@PTC</w:t>
        </w:r>
      </w:hyperlink>
      <w:r w:rsidR="00A266EB" w:rsidRPr="00A835D3">
        <w:rPr>
          <w:rFonts w:ascii="Arial" w:hAnsi="Arial" w:cs="Arial"/>
        </w:rPr>
        <w:t xml:space="preserve"> </w:t>
      </w:r>
      <w:hyperlink r:id="rId17" w:history="1">
        <w:r w:rsidR="00A266EB" w:rsidRPr="00A835D3">
          <w:rPr>
            <w:rStyle w:val="a7"/>
            <w:rFonts w:ascii="Arial" w:hAnsi="Arial" w:cs="Arial"/>
          </w:rPr>
          <w:t>Блоги</w:t>
        </w:r>
      </w:hyperlink>
    </w:p>
    <w:p w14:paraId="096F387D" w14:textId="77777777" w:rsidR="003D3DBF" w:rsidRPr="00A835D3" w:rsidRDefault="00A266EB" w:rsidP="00A835D3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A835D3">
        <w:rPr>
          <w:rFonts w:ascii="Arial" w:hAnsi="Arial" w:cs="Arial"/>
          <w:color w:val="4C4D4F"/>
        </w:rPr>
        <w:t xml:space="preserve">PTC, </w:t>
      </w:r>
      <w:proofErr w:type="spellStart"/>
      <w:r w:rsidRPr="00A835D3">
        <w:rPr>
          <w:rFonts w:ascii="Arial" w:hAnsi="Arial" w:cs="Arial"/>
          <w:color w:val="4C4D4F"/>
        </w:rPr>
        <w:t>Creo</w:t>
      </w:r>
      <w:proofErr w:type="spellEnd"/>
      <w:r w:rsidRPr="00A835D3">
        <w:rPr>
          <w:rFonts w:ascii="Arial" w:hAnsi="Arial" w:cs="Arial"/>
          <w:color w:val="4C4D4F"/>
        </w:rPr>
        <w:t xml:space="preserve"> и логотип PTC являются товарными знаками либо зарегистрированными товарными знаками корпорации PTC или ее дочерних компаний в США и других странах.</w:t>
      </w:r>
    </w:p>
    <w:sectPr w:rsidR="003D3DBF" w:rsidRPr="00A835D3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17609" w14:textId="77777777" w:rsidR="004B4C41" w:rsidRDefault="004B4C41" w:rsidP="0081103B">
      <w:r>
        <w:separator/>
      </w:r>
    </w:p>
  </w:endnote>
  <w:endnote w:type="continuationSeparator" w:id="0">
    <w:p w14:paraId="61B5419A" w14:textId="77777777" w:rsidR="004B4C41" w:rsidRDefault="004B4C41" w:rsidP="0081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2B5AB" w14:textId="77777777" w:rsidR="004B4C41" w:rsidRDefault="004B4C41" w:rsidP="0081103B">
      <w:r>
        <w:separator/>
      </w:r>
    </w:p>
  </w:footnote>
  <w:footnote w:type="continuationSeparator" w:id="0">
    <w:p w14:paraId="333368EE" w14:textId="77777777" w:rsidR="004B4C41" w:rsidRDefault="004B4C41" w:rsidP="00811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C2A5B" w14:textId="77777777" w:rsidR="00373789" w:rsidRPr="0081103B" w:rsidRDefault="00373789" w:rsidP="0081103B">
    <w:pPr>
      <w:jc w:val="right"/>
      <w:rPr>
        <w:rFonts w:ascii="Arial" w:hAnsi="Arial"/>
        <w:b/>
        <w:noProof/>
        <w:color w:val="000000"/>
        <w:sz w:val="20"/>
        <w:szCs w:val="20"/>
      </w:rPr>
    </w:pPr>
    <w:r>
      <w:rPr>
        <w:rFonts w:ascii="Arial" w:hAnsi="Arial"/>
        <w:b/>
        <w:noProof/>
        <w:color w:val="000000"/>
        <w:sz w:val="20"/>
        <w:szCs w:val="20"/>
        <w:lang w:val="nl-NL" w:eastAsia="nl-NL"/>
      </w:rPr>
      <w:drawing>
        <wp:anchor distT="0" distB="0" distL="114300" distR="114300" simplePos="0" relativeHeight="251659264" behindDoc="0" locked="0" layoutInCell="1" allowOverlap="1" wp14:anchorId="2B0304BF" wp14:editId="2DD9D061">
          <wp:simplePos x="0" y="0"/>
          <wp:positionH relativeFrom="column">
            <wp:posOffset>-3810</wp:posOffset>
          </wp:positionH>
          <wp:positionV relativeFrom="paragraph">
            <wp:posOffset>-20955</wp:posOffset>
          </wp:positionV>
          <wp:extent cx="1771650" cy="685800"/>
          <wp:effectExtent l="0" t="0" r="0" b="0"/>
          <wp:wrapThrough wrapText="bothSides">
            <wp:wrapPolygon edited="0">
              <wp:start x="2787" y="0"/>
              <wp:lineTo x="0" y="4200"/>
              <wp:lineTo x="0" y="16800"/>
              <wp:lineTo x="2555" y="21000"/>
              <wp:lineTo x="2787" y="21000"/>
              <wp:lineTo x="4413" y="21000"/>
              <wp:lineTo x="11613" y="20400"/>
              <wp:lineTo x="11381" y="19200"/>
              <wp:lineTo x="21368" y="16200"/>
              <wp:lineTo x="21368" y="1200"/>
              <wp:lineTo x="4413" y="0"/>
              <wp:lineTo x="2787" y="0"/>
            </wp:wrapPolygon>
          </wp:wrapThrough>
          <wp:docPr id="2" name="Рисунок 3" descr="C:\Users\ymelentieva\Desktop\ptc-master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C:\Users\ymelentieva\Desktop\ptc-master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103B">
      <w:rPr>
        <w:rFonts w:ascii="Arial" w:hAnsi="Arial"/>
        <w:b/>
        <w:noProof/>
        <w:color w:val="000000"/>
        <w:sz w:val="20"/>
        <w:szCs w:val="20"/>
      </w:rPr>
      <w:t>КОНТАКТЫ ДЛЯ ПРЕССЫ</w:t>
    </w:r>
  </w:p>
  <w:p w14:paraId="0E91E2A4" w14:textId="77777777" w:rsidR="00373789" w:rsidRPr="0081103B" w:rsidRDefault="00373789" w:rsidP="0081103B">
    <w:pPr>
      <w:jc w:val="right"/>
      <w:rPr>
        <w:rFonts w:ascii="Arial" w:hAnsi="Arial"/>
        <w:b/>
        <w:noProof/>
        <w:color w:val="000000"/>
        <w:sz w:val="20"/>
        <w:szCs w:val="20"/>
      </w:rPr>
    </w:pPr>
  </w:p>
  <w:p w14:paraId="0DB0718B" w14:textId="77777777" w:rsidR="00373789" w:rsidRPr="0081103B" w:rsidRDefault="00373789" w:rsidP="0081103B">
    <w:pPr>
      <w:pStyle w:val="a3"/>
      <w:tabs>
        <w:tab w:val="left" w:pos="-720"/>
      </w:tabs>
      <w:ind w:left="-900"/>
      <w:jc w:val="right"/>
      <w:rPr>
        <w:noProof/>
        <w:sz w:val="20"/>
        <w:szCs w:val="20"/>
      </w:rPr>
    </w:pPr>
    <w:r w:rsidRPr="0081103B">
      <w:rPr>
        <w:noProof/>
        <w:sz w:val="20"/>
        <w:szCs w:val="20"/>
      </w:rPr>
      <w:t xml:space="preserve">Татьяна Голуб, директор по маркетингу, </w:t>
    </w:r>
    <w:r w:rsidRPr="00C33D4A">
      <w:rPr>
        <w:noProof/>
        <w:sz w:val="20"/>
        <w:szCs w:val="20"/>
        <w:lang w:val="en-US"/>
      </w:rPr>
      <w:t>PTC</w:t>
    </w:r>
    <w:r w:rsidRPr="0081103B">
      <w:rPr>
        <w:noProof/>
        <w:sz w:val="20"/>
        <w:szCs w:val="20"/>
      </w:rPr>
      <w:t xml:space="preserve"> в России</w:t>
    </w:r>
  </w:p>
  <w:p w14:paraId="45008B4E" w14:textId="77777777" w:rsidR="00373789" w:rsidRPr="00C33D4A" w:rsidRDefault="00373789" w:rsidP="0081103B">
    <w:pPr>
      <w:pStyle w:val="a3"/>
      <w:tabs>
        <w:tab w:val="left" w:pos="-720"/>
      </w:tabs>
      <w:ind w:left="-900"/>
      <w:jc w:val="right"/>
      <w:rPr>
        <w:noProof/>
        <w:sz w:val="20"/>
        <w:szCs w:val="20"/>
        <w:lang w:val="en-US"/>
      </w:rPr>
    </w:pPr>
    <w:r w:rsidRPr="00C33D4A">
      <w:rPr>
        <w:noProof/>
        <w:sz w:val="20"/>
        <w:szCs w:val="20"/>
        <w:lang w:val="en-US"/>
      </w:rPr>
      <w:t>tgolub@ptc.com</w:t>
    </w:r>
  </w:p>
  <w:p w14:paraId="40ED16D0" w14:textId="77777777" w:rsidR="00373789" w:rsidRPr="00C33D4A" w:rsidRDefault="00373789" w:rsidP="0081103B">
    <w:pPr>
      <w:pStyle w:val="a3"/>
      <w:tabs>
        <w:tab w:val="left" w:pos="-720"/>
      </w:tabs>
      <w:spacing w:after="360"/>
      <w:ind w:left="-900"/>
      <w:jc w:val="right"/>
      <w:rPr>
        <w:sz w:val="20"/>
        <w:szCs w:val="20"/>
      </w:rPr>
    </w:pPr>
    <w:r w:rsidRPr="00C33D4A">
      <w:rPr>
        <w:noProof/>
        <w:sz w:val="20"/>
        <w:szCs w:val="20"/>
        <w:lang w:val="en-US"/>
      </w:rPr>
      <w:t xml:space="preserve">+7 (495) 646 29 66 </w:t>
    </w:r>
    <w:r w:rsidRPr="00C33D4A">
      <w:rPr>
        <w:noProof/>
        <w:sz w:val="20"/>
        <w:szCs w:val="20"/>
      </w:rPr>
      <w:t xml:space="preserve"> </w:t>
    </w:r>
  </w:p>
  <w:p w14:paraId="6290FD7B" w14:textId="77777777" w:rsidR="00373789" w:rsidRDefault="003737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65DD"/>
    <w:multiLevelType w:val="hybridMultilevel"/>
    <w:tmpl w:val="23F25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15B58"/>
    <w:multiLevelType w:val="hybridMultilevel"/>
    <w:tmpl w:val="13E6E4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47EF6"/>
    <w:multiLevelType w:val="hybridMultilevel"/>
    <w:tmpl w:val="112C1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31F07"/>
    <w:multiLevelType w:val="hybridMultilevel"/>
    <w:tmpl w:val="137CB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E5576"/>
    <w:multiLevelType w:val="multilevel"/>
    <w:tmpl w:val="CCAA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0A434D"/>
    <w:multiLevelType w:val="hybridMultilevel"/>
    <w:tmpl w:val="5720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A2561"/>
    <w:multiLevelType w:val="hybridMultilevel"/>
    <w:tmpl w:val="4D4A6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3B"/>
    <w:rsid w:val="000530C5"/>
    <w:rsid w:val="000609FC"/>
    <w:rsid w:val="00071D9C"/>
    <w:rsid w:val="00082B94"/>
    <w:rsid w:val="000A66F4"/>
    <w:rsid w:val="000C279C"/>
    <w:rsid w:val="000C4F7B"/>
    <w:rsid w:val="000F0780"/>
    <w:rsid w:val="001400BB"/>
    <w:rsid w:val="001534F9"/>
    <w:rsid w:val="00171536"/>
    <w:rsid w:val="001B1EA2"/>
    <w:rsid w:val="001D2816"/>
    <w:rsid w:val="002073F3"/>
    <w:rsid w:val="002356B0"/>
    <w:rsid w:val="00246E56"/>
    <w:rsid w:val="002560FC"/>
    <w:rsid w:val="00261926"/>
    <w:rsid w:val="002635D1"/>
    <w:rsid w:val="002B4F9F"/>
    <w:rsid w:val="0032509C"/>
    <w:rsid w:val="00373789"/>
    <w:rsid w:val="00382729"/>
    <w:rsid w:val="00382A5E"/>
    <w:rsid w:val="00393C84"/>
    <w:rsid w:val="00396625"/>
    <w:rsid w:val="003D3DBF"/>
    <w:rsid w:val="00426892"/>
    <w:rsid w:val="00463678"/>
    <w:rsid w:val="0047184A"/>
    <w:rsid w:val="00482FA9"/>
    <w:rsid w:val="004B383D"/>
    <w:rsid w:val="004B4C41"/>
    <w:rsid w:val="004B7A9D"/>
    <w:rsid w:val="004C1FB7"/>
    <w:rsid w:val="004D1EAC"/>
    <w:rsid w:val="004E62AB"/>
    <w:rsid w:val="005001DE"/>
    <w:rsid w:val="00501524"/>
    <w:rsid w:val="00502B90"/>
    <w:rsid w:val="00582CF3"/>
    <w:rsid w:val="005D21F0"/>
    <w:rsid w:val="005E6B3E"/>
    <w:rsid w:val="00670385"/>
    <w:rsid w:val="006749E4"/>
    <w:rsid w:val="006A7586"/>
    <w:rsid w:val="006B0FDC"/>
    <w:rsid w:val="006B7804"/>
    <w:rsid w:val="006C3860"/>
    <w:rsid w:val="006D0410"/>
    <w:rsid w:val="006F1412"/>
    <w:rsid w:val="007D3749"/>
    <w:rsid w:val="0081103B"/>
    <w:rsid w:val="008305E4"/>
    <w:rsid w:val="00885D10"/>
    <w:rsid w:val="008E3211"/>
    <w:rsid w:val="008E6ABD"/>
    <w:rsid w:val="0093217B"/>
    <w:rsid w:val="00945A86"/>
    <w:rsid w:val="009B3AE4"/>
    <w:rsid w:val="009D4A48"/>
    <w:rsid w:val="009D7E36"/>
    <w:rsid w:val="00A266EB"/>
    <w:rsid w:val="00A30186"/>
    <w:rsid w:val="00A478A6"/>
    <w:rsid w:val="00A632EE"/>
    <w:rsid w:val="00A7484A"/>
    <w:rsid w:val="00A835D3"/>
    <w:rsid w:val="00AB5770"/>
    <w:rsid w:val="00AD0ADA"/>
    <w:rsid w:val="00B80BA4"/>
    <w:rsid w:val="00BD1A63"/>
    <w:rsid w:val="00BE78AF"/>
    <w:rsid w:val="00C067D4"/>
    <w:rsid w:val="00C46CC3"/>
    <w:rsid w:val="00C62D4F"/>
    <w:rsid w:val="00CA2240"/>
    <w:rsid w:val="00CA5C8E"/>
    <w:rsid w:val="00D47B43"/>
    <w:rsid w:val="00D849E9"/>
    <w:rsid w:val="00DA2EF4"/>
    <w:rsid w:val="00DC67D6"/>
    <w:rsid w:val="00DD032C"/>
    <w:rsid w:val="00DD5504"/>
    <w:rsid w:val="00DF2446"/>
    <w:rsid w:val="00DF3B32"/>
    <w:rsid w:val="00E3328D"/>
    <w:rsid w:val="00E35CF0"/>
    <w:rsid w:val="00E37F92"/>
    <w:rsid w:val="00E4109E"/>
    <w:rsid w:val="00E5034B"/>
    <w:rsid w:val="00E91B19"/>
    <w:rsid w:val="00EA3B5D"/>
    <w:rsid w:val="00EA531E"/>
    <w:rsid w:val="00EA71F0"/>
    <w:rsid w:val="00EE79D2"/>
    <w:rsid w:val="00F223B9"/>
    <w:rsid w:val="00FE19E1"/>
    <w:rsid w:val="00FF594B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6183"/>
  <w15:chartTrackingRefBased/>
  <w15:docId w15:val="{E80CD408-E531-4DBF-BAD5-0CF150A1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03B"/>
    <w:pPr>
      <w:spacing w:after="0" w:line="240" w:lineRule="auto"/>
    </w:pPr>
    <w:rPr>
      <w:rFonts w:ascii="Cambria" w:eastAsia="MS Mincho" w:hAnsi="Cambria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03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103B"/>
  </w:style>
  <w:style w:type="paragraph" w:styleId="a5">
    <w:name w:val="footer"/>
    <w:basedOn w:val="a"/>
    <w:link w:val="a6"/>
    <w:uiPriority w:val="99"/>
    <w:unhideWhenUsed/>
    <w:rsid w:val="0081103B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103B"/>
  </w:style>
  <w:style w:type="character" w:styleId="a7">
    <w:name w:val="Hyperlink"/>
    <w:basedOn w:val="a0"/>
    <w:uiPriority w:val="99"/>
    <w:unhideWhenUsed/>
    <w:rsid w:val="0081103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D3DBF"/>
    <w:pPr>
      <w:ind w:left="720"/>
      <w:contextualSpacing/>
    </w:pPr>
  </w:style>
  <w:style w:type="paragraph" w:styleId="a9">
    <w:name w:val="Plain Text"/>
    <w:basedOn w:val="a"/>
    <w:link w:val="aa"/>
    <w:uiPriority w:val="99"/>
    <w:unhideWhenUsed/>
    <w:rsid w:val="00EE79D2"/>
    <w:rPr>
      <w:rFonts w:ascii="Calibri" w:eastAsiaTheme="minorHAnsi" w:hAnsi="Calibri" w:cstheme="minorBidi"/>
      <w:sz w:val="22"/>
      <w:szCs w:val="21"/>
      <w:lang w:val="nl-NL" w:eastAsia="en-US"/>
    </w:rPr>
  </w:style>
  <w:style w:type="character" w:customStyle="1" w:styleId="aa">
    <w:name w:val="Текст Знак"/>
    <w:basedOn w:val="a0"/>
    <w:link w:val="a9"/>
    <w:uiPriority w:val="99"/>
    <w:rsid w:val="00EE79D2"/>
    <w:rPr>
      <w:rFonts w:ascii="Calibri" w:hAnsi="Calibri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6D041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0410"/>
    <w:rPr>
      <w:rFonts w:ascii="Segoe UI" w:eastAsia="MS Mincho" w:hAnsi="Segoe UI" w:cs="Segoe UI"/>
      <w:sz w:val="18"/>
      <w:szCs w:val="18"/>
      <w:lang w:val="ru-RU" w:eastAsia="ru-RU"/>
    </w:rPr>
  </w:style>
  <w:style w:type="character" w:styleId="ad">
    <w:name w:val="annotation reference"/>
    <w:basedOn w:val="a0"/>
    <w:uiPriority w:val="99"/>
    <w:semiHidden/>
    <w:unhideWhenUsed/>
    <w:rsid w:val="00CA224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A224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A2240"/>
    <w:rPr>
      <w:rFonts w:ascii="Cambria" w:eastAsia="MS Mincho" w:hAnsi="Cambria" w:cs="Times New Roman"/>
      <w:sz w:val="20"/>
      <w:szCs w:val="20"/>
      <w:lang w:val="ru-RU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224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A2240"/>
    <w:rPr>
      <w:rFonts w:ascii="Cambria" w:eastAsia="MS Mincho" w:hAnsi="Cambria" w:cs="Times New Roman"/>
      <w:b/>
      <w:bCs/>
      <w:sz w:val="20"/>
      <w:szCs w:val="20"/>
      <w:lang w:val="ru-RU" w:eastAsia="ru-RU"/>
    </w:rPr>
  </w:style>
  <w:style w:type="character" w:styleId="af2">
    <w:name w:val="Unresolved Mention"/>
    <w:basedOn w:val="a0"/>
    <w:uiPriority w:val="99"/>
    <w:semiHidden/>
    <w:unhideWhenUsed/>
    <w:rsid w:val="008E6A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tc.com/en/resources/plm/report/forrester-wave/" TargetMode="External"/><Relationship Id="rId13" Type="http://schemas.openxmlformats.org/officeDocument/2006/relationships/hyperlink" Target="https://www.ptc.com/en/products/plm/plm-products/navigat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tc.com/" TargetMode="External"/><Relationship Id="rId12" Type="http://schemas.openxmlformats.org/officeDocument/2006/relationships/hyperlink" Target="https://www.ptc.com/en/products/plm/plm-products/windchill" TargetMode="External"/><Relationship Id="rId17" Type="http://schemas.openxmlformats.org/officeDocument/2006/relationships/hyperlink" Target="http://www.ptc.com/blogs" TargetMode="External"/><Relationship Id="rId2" Type="http://schemas.openxmlformats.org/officeDocument/2006/relationships/styles" Target="styles.xml"/><Relationship Id="rId16" Type="http://schemas.openxmlformats.org/officeDocument/2006/relationships/hyperlink" Target="http://twitter.com/PT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tc.com/en/resources/plm/report/forrester-wav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tc.ru.com/" TargetMode="External"/><Relationship Id="rId10" Type="http://schemas.openxmlformats.org/officeDocument/2006/relationships/hyperlink" Target="https://www.ptc.com/en/products/io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tc.com/en/products/plm/plm-products/navigate" TargetMode="External"/><Relationship Id="rId14" Type="http://schemas.openxmlformats.org/officeDocument/2006/relationships/hyperlink" Target="https://www.ptc.com/en/industry-insights/harvard-business-review/article-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Golub, Tatiana</dc:creator>
  <cp:keywords/>
  <dc:description/>
  <cp:lastModifiedBy>Georgy Maltsev</cp:lastModifiedBy>
  <cp:revision>4</cp:revision>
  <dcterms:created xsi:type="dcterms:W3CDTF">2018-01-23T14:55:00Z</dcterms:created>
  <dcterms:modified xsi:type="dcterms:W3CDTF">2018-01-23T16:09:00Z</dcterms:modified>
</cp:coreProperties>
</file>